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1D0" w:rsidRDefault="00B611D0" w:rsidP="00B61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48"/>
          <w:szCs w:val="48"/>
          <w:lang w:eastAsia="ru-RU"/>
        </w:rPr>
      </w:pPr>
    </w:p>
    <w:p w:rsidR="008A7421" w:rsidRDefault="008A7421" w:rsidP="00B61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48"/>
          <w:szCs w:val="48"/>
          <w:lang w:eastAsia="ru-RU"/>
        </w:rPr>
      </w:pPr>
    </w:p>
    <w:p w:rsidR="00B611D0" w:rsidRDefault="00B611D0" w:rsidP="00B611D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7030A0"/>
          <w:sz w:val="48"/>
          <w:szCs w:val="48"/>
          <w:lang w:eastAsia="ru-RU"/>
        </w:rPr>
      </w:pPr>
    </w:p>
    <w:p w:rsidR="00B611D0" w:rsidRDefault="00B611D0" w:rsidP="00B61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48"/>
          <w:szCs w:val="48"/>
          <w:lang w:eastAsia="ru-RU"/>
        </w:rPr>
      </w:pPr>
    </w:p>
    <w:p w:rsidR="00B611D0" w:rsidRDefault="00B611D0" w:rsidP="00B61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48"/>
          <w:szCs w:val="48"/>
          <w:lang w:eastAsia="ru-RU"/>
        </w:rPr>
      </w:pPr>
    </w:p>
    <w:p w:rsidR="00B611D0" w:rsidRPr="00B611D0" w:rsidRDefault="00B611D0" w:rsidP="00B61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56"/>
          <w:szCs w:val="56"/>
          <w:lang w:eastAsia="ru-RU"/>
        </w:rPr>
      </w:pPr>
    </w:p>
    <w:p w:rsidR="008A7421" w:rsidRDefault="00B611D0" w:rsidP="00B61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56"/>
          <w:szCs w:val="56"/>
          <w:lang w:eastAsia="ru-RU"/>
        </w:rPr>
      </w:pPr>
      <w:r w:rsidRPr="00B611D0">
        <w:rPr>
          <w:rFonts w:ascii="Times New Roman" w:eastAsia="Times New Roman" w:hAnsi="Times New Roman" w:cs="Times New Roman"/>
          <w:b/>
          <w:bCs/>
          <w:i/>
          <w:color w:val="7030A0"/>
          <w:sz w:val="56"/>
          <w:szCs w:val="56"/>
          <w:lang w:eastAsia="ru-RU"/>
        </w:rPr>
        <w:t xml:space="preserve"> «Сенсорное развитие детей</w:t>
      </w:r>
    </w:p>
    <w:p w:rsidR="00B611D0" w:rsidRPr="00B611D0" w:rsidRDefault="00B611D0" w:rsidP="00B611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7030A0"/>
          <w:sz w:val="56"/>
          <w:szCs w:val="56"/>
          <w:lang w:eastAsia="ru-RU"/>
        </w:rPr>
      </w:pPr>
      <w:r w:rsidRPr="00B611D0">
        <w:rPr>
          <w:rFonts w:ascii="Times New Roman" w:eastAsia="Times New Roman" w:hAnsi="Times New Roman" w:cs="Times New Roman"/>
          <w:b/>
          <w:bCs/>
          <w:i/>
          <w:color w:val="7030A0"/>
          <w:sz w:val="56"/>
          <w:szCs w:val="56"/>
          <w:lang w:eastAsia="ru-RU"/>
        </w:rPr>
        <w:t xml:space="preserve"> 2 – 3 лет»</w:t>
      </w:r>
    </w:p>
    <w:p w:rsidR="00B611D0" w:rsidRDefault="00B611D0" w:rsidP="00B61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48"/>
          <w:szCs w:val="48"/>
          <w:lang w:eastAsia="ru-RU"/>
        </w:rPr>
      </w:pPr>
    </w:p>
    <w:p w:rsidR="00B611D0" w:rsidRDefault="00B611D0" w:rsidP="00B61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48"/>
          <w:szCs w:val="48"/>
          <w:lang w:eastAsia="ru-RU"/>
        </w:rPr>
      </w:pPr>
    </w:p>
    <w:p w:rsidR="00B611D0" w:rsidRDefault="00B611D0" w:rsidP="00B61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48"/>
          <w:szCs w:val="48"/>
          <w:lang w:eastAsia="ru-RU"/>
        </w:rPr>
      </w:pPr>
    </w:p>
    <w:p w:rsidR="00B611D0" w:rsidRDefault="00B611D0" w:rsidP="00B61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48"/>
          <w:szCs w:val="48"/>
          <w:lang w:eastAsia="ru-RU"/>
        </w:rPr>
      </w:pPr>
    </w:p>
    <w:p w:rsidR="00B611D0" w:rsidRDefault="00B611D0" w:rsidP="00B61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48"/>
          <w:szCs w:val="48"/>
          <w:lang w:eastAsia="ru-RU"/>
        </w:rPr>
      </w:pPr>
    </w:p>
    <w:p w:rsidR="00B611D0" w:rsidRDefault="00B611D0" w:rsidP="00B61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48"/>
          <w:szCs w:val="48"/>
          <w:lang w:eastAsia="ru-RU"/>
        </w:rPr>
      </w:pPr>
    </w:p>
    <w:p w:rsidR="00B611D0" w:rsidRDefault="00B611D0" w:rsidP="00B61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48"/>
          <w:szCs w:val="48"/>
          <w:lang w:eastAsia="ru-RU"/>
        </w:rPr>
      </w:pPr>
    </w:p>
    <w:p w:rsidR="00B611D0" w:rsidRPr="00B611D0" w:rsidRDefault="00BD09A3" w:rsidP="00B611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7030A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7030A0"/>
          <w:sz w:val="32"/>
          <w:szCs w:val="32"/>
          <w:lang w:eastAsia="ru-RU"/>
        </w:rPr>
        <w:t>Воспитатель: Вельможная Н.Н.</w:t>
      </w:r>
      <w:bookmarkStart w:id="0" w:name="_GoBack"/>
      <w:bookmarkEnd w:id="0"/>
    </w:p>
    <w:p w:rsidR="00B611D0" w:rsidRDefault="00B611D0" w:rsidP="00B61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48"/>
          <w:szCs w:val="48"/>
          <w:lang w:eastAsia="ru-RU"/>
        </w:rPr>
      </w:pPr>
    </w:p>
    <w:p w:rsidR="00B611D0" w:rsidRDefault="00B611D0" w:rsidP="00B61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48"/>
          <w:szCs w:val="48"/>
          <w:lang w:eastAsia="ru-RU"/>
        </w:rPr>
      </w:pPr>
    </w:p>
    <w:p w:rsidR="00B611D0" w:rsidRDefault="00B611D0" w:rsidP="00B61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48"/>
          <w:szCs w:val="48"/>
          <w:lang w:eastAsia="ru-RU"/>
        </w:rPr>
      </w:pPr>
    </w:p>
    <w:p w:rsidR="00B611D0" w:rsidRDefault="00B611D0" w:rsidP="00B61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48"/>
          <w:szCs w:val="48"/>
          <w:lang w:eastAsia="ru-RU"/>
        </w:rPr>
      </w:pPr>
    </w:p>
    <w:p w:rsidR="00B611D0" w:rsidRDefault="00B611D0" w:rsidP="00B61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48"/>
          <w:szCs w:val="48"/>
          <w:lang w:eastAsia="ru-RU"/>
        </w:rPr>
      </w:pPr>
    </w:p>
    <w:p w:rsidR="00B611D0" w:rsidRDefault="00B611D0" w:rsidP="00B61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48"/>
          <w:szCs w:val="48"/>
          <w:lang w:eastAsia="ru-RU"/>
        </w:rPr>
      </w:pPr>
    </w:p>
    <w:p w:rsidR="00B611D0" w:rsidRDefault="00B611D0" w:rsidP="00B61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48"/>
          <w:szCs w:val="48"/>
          <w:lang w:eastAsia="ru-RU"/>
        </w:rPr>
      </w:pPr>
    </w:p>
    <w:p w:rsidR="00B611D0" w:rsidRDefault="00B611D0" w:rsidP="00B61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48"/>
          <w:szCs w:val="48"/>
          <w:lang w:eastAsia="ru-RU"/>
        </w:rPr>
      </w:pPr>
    </w:p>
    <w:p w:rsidR="00B611D0" w:rsidRDefault="00B611D0" w:rsidP="00B61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48"/>
          <w:szCs w:val="48"/>
          <w:lang w:eastAsia="ru-RU"/>
        </w:rPr>
      </w:pPr>
    </w:p>
    <w:p w:rsidR="00B611D0" w:rsidRPr="00B611D0" w:rsidRDefault="00B611D0" w:rsidP="00B611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7030A0"/>
          <w:sz w:val="48"/>
          <w:szCs w:val="48"/>
          <w:lang w:eastAsia="ru-RU"/>
        </w:rPr>
      </w:pPr>
      <w:r w:rsidRPr="00B611D0">
        <w:rPr>
          <w:rFonts w:ascii="Times New Roman" w:eastAsia="Times New Roman" w:hAnsi="Times New Roman" w:cs="Times New Roman"/>
          <w:b/>
          <w:bCs/>
          <w:i/>
          <w:color w:val="7030A0"/>
          <w:sz w:val="48"/>
          <w:szCs w:val="48"/>
          <w:lang w:eastAsia="ru-RU"/>
        </w:rPr>
        <w:t xml:space="preserve"> «Сенсорное развитие детей 2 – 3 лет»</w:t>
      </w:r>
    </w:p>
    <w:p w:rsidR="00B611D0" w:rsidRPr="00B611D0" w:rsidRDefault="00B611D0" w:rsidP="00B611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B611D0" w:rsidRPr="00B611D0" w:rsidRDefault="00B611D0" w:rsidP="00B611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Сенсорное развитие ребенка – это развитие его восприятия и формирование представлений о внешних свойствах предметов: их форме, цвете, величине, положении в пространстве, запахе и вкусе.</w:t>
      </w:r>
    </w:p>
    <w:p w:rsidR="00B611D0" w:rsidRPr="00B611D0" w:rsidRDefault="00B611D0" w:rsidP="00B611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сенсорного развития в раннем детстве велико:</w:t>
      </w:r>
    </w:p>
    <w:p w:rsidR="00B611D0" w:rsidRPr="00B611D0" w:rsidRDefault="00B611D0" w:rsidP="00B611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совершенствование деятельности органов чувств;</w:t>
      </w:r>
    </w:p>
    <w:p w:rsidR="00B611D0" w:rsidRPr="00B611D0" w:rsidRDefault="00B611D0" w:rsidP="00B611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накопление представлений об окружающем мире.</w:t>
      </w:r>
    </w:p>
    <w:p w:rsidR="00B611D0" w:rsidRPr="00B611D0" w:rsidRDefault="00B611D0" w:rsidP="00B611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одной стороны, сенсорное развитие составляет фундамент общего умственного развития, с другой стороны, имеет самостоятельное значение, т.к. полноценное восприятие окружающего мира необходимо не только для успешного обучения детей в детском саду и школе, но и для многих видов деятельности.</w:t>
      </w:r>
    </w:p>
    <w:p w:rsidR="00B611D0" w:rsidRPr="00B611D0" w:rsidRDefault="00B611D0" w:rsidP="00B611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на каждом возрастном этапе оказывается наиболее чувственным к тем или иным воздействиям. Чем меньше ребенок, тем больше значение в его жизни имеет чувственный опыт. На этапе раннего детства ознакомление со свойствами предметов играет определенную роль. Ведь не зря профессор </w:t>
      </w:r>
      <w:proofErr w:type="spellStart"/>
      <w:r w:rsidRPr="00B61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Н.М.Щелованов</w:t>
      </w:r>
      <w:proofErr w:type="spellEnd"/>
      <w:r w:rsidRPr="00B61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назвал ранний возраст “золотой порой” сенсорного воспитания. На 2–3 году жизни ребенок еще не готов к усвоению сенсорных эталонов (это общепринятые образцы внешних свойств предметов), у него еще только начинают накапливаться представления о величине, форме, цвете и других свойствах предметов, а накопление этих представлений происходит через игру, через игровые ситуации. В игре дети непроизвольно осваивают приемы группировки и классификации, явления отношений и зависимостей между предметами по размеру, форме, цвету, расположению в пространстве.</w:t>
      </w:r>
    </w:p>
    <w:p w:rsidR="00B611D0" w:rsidRPr="00B611D0" w:rsidRDefault="00B611D0" w:rsidP="00B611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у нас живут мишутка, зайчик, и множество других игрушек. И игровые сюжеты связаны с ними – мы им помогаем узнать, какого цвета солнышко – желтого, какой оно формы – круглое и т.д. Для создания игровой ситуации мы используем имеющиеся в группе материалы и предметы быта. Очень помогает в работе «Полянка с грибочками» (состоит из четырех секций основных сенсорных цветов-эталонов: красного, синего, зеленого, желтого). Мы на ней изучаем и закрепляем цвета.</w:t>
      </w:r>
    </w:p>
    <w:p w:rsidR="00B611D0" w:rsidRPr="00B611D0" w:rsidRDefault="00B611D0" w:rsidP="00B611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Составляя картинки из геометрических фигур, каждый малыш отыскивает нужную геометрическую фигуру, определяет цвет, который нужен и т.д.</w:t>
      </w:r>
    </w:p>
    <w:p w:rsidR="00B611D0" w:rsidRPr="00B611D0" w:rsidRDefault="00B611D0" w:rsidP="00B611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хорошо воспринимаются детьми игры, сопровождаемые </w:t>
      </w:r>
      <w:proofErr w:type="spellStart"/>
      <w:r w:rsidRPr="00B61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потешками</w:t>
      </w:r>
      <w:proofErr w:type="spellEnd"/>
      <w:r w:rsidRPr="00B61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Чтение </w:t>
      </w:r>
      <w:proofErr w:type="spellStart"/>
      <w:r w:rsidRPr="00B61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B61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сочетается с действиями, которые выполняют все малыши. Так, например, обыгрывая </w:t>
      </w:r>
      <w:proofErr w:type="spellStart"/>
      <w:r w:rsidRPr="00B61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B61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“Сорока-белобока”, детям предлагается подобрать ложку по цвету (красная тарелочка – красная ложка и т.д.). А обыгрывая </w:t>
      </w:r>
      <w:proofErr w:type="spellStart"/>
      <w:r w:rsidRPr="00B61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B61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“Курочка-</w:t>
      </w:r>
      <w:proofErr w:type="spellStart"/>
      <w:r w:rsidRPr="00B61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рябушечка</w:t>
      </w:r>
      <w:proofErr w:type="spellEnd"/>
      <w:r w:rsidRPr="00B61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 дети подбирают ведерко курочке по цвету и величине. Играя в “Ладушки-оладушки”, малыши знакомятся с понятием один – много: Саше дала, Кате дала, ... всем дала, сколько бабушка напекла оладушек – много.</w:t>
      </w:r>
    </w:p>
    <w:p w:rsidR="00B611D0" w:rsidRPr="00B611D0" w:rsidRDefault="00B611D0" w:rsidP="00B611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раннем возрасте стоит задача подготовить детей к последующему обучению математике через:</w:t>
      </w:r>
    </w:p>
    <w:p w:rsidR="00B611D0" w:rsidRPr="00B611D0" w:rsidRDefault="00B611D0" w:rsidP="00B611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Знакомство с основными эталонами цветов: красный, синий, желтый, зеленый.</w:t>
      </w:r>
    </w:p>
    <w:p w:rsidR="00B611D0" w:rsidRPr="00B611D0" w:rsidRDefault="00B611D0" w:rsidP="00B611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игрушки-вкладыши на различение </w:t>
      </w:r>
      <w:r w:rsidRPr="00B61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величины</w:t>
      </w:r>
      <w:r w:rsidRPr="00B61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используя </w:t>
      </w:r>
      <w:proofErr w:type="spellStart"/>
      <w:r w:rsidRPr="00B61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B61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стихи, игры с пальчиками, дидактические игрушки.</w:t>
      </w:r>
    </w:p>
    <w:p w:rsidR="00B611D0" w:rsidRPr="00B611D0" w:rsidRDefault="00B611D0" w:rsidP="00B611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 </w:t>
      </w:r>
      <w:r w:rsidRPr="00B61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геометрическими формами</w:t>
      </w:r>
      <w:r w:rsidRPr="00B61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круг, квадрат, треугольник, шар, куб.</w:t>
      </w:r>
    </w:p>
    <w:p w:rsidR="00B611D0" w:rsidRPr="00B611D0" w:rsidRDefault="00B611D0" w:rsidP="00B611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ситуации на развитие вкуса, обоняния, осязания, слуха.</w:t>
      </w:r>
    </w:p>
    <w:p w:rsidR="00B611D0" w:rsidRPr="00B611D0" w:rsidRDefault="00B611D0" w:rsidP="00B611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 </w:t>
      </w:r>
      <w:r w:rsidRPr="00B61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мелкой моторики рук</w:t>
      </w:r>
      <w:r w:rsidRPr="00B61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застежки, шнуровки, бусы (крупные) для нанизывания, мозаики и т.д.</w:t>
      </w:r>
    </w:p>
    <w:p w:rsidR="00B611D0" w:rsidRPr="00B611D0" w:rsidRDefault="00B611D0" w:rsidP="00B611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простейшими настольно-печатными играми: лото, разрезные и парные картинки.</w:t>
      </w:r>
    </w:p>
    <w:p w:rsidR="00B611D0" w:rsidRPr="00566AFC" w:rsidRDefault="00566AFC" w:rsidP="00566AFC">
      <w:pPr>
        <w:jc w:val="center"/>
        <w:rPr>
          <w:i/>
          <w:sz w:val="52"/>
          <w:szCs w:val="52"/>
        </w:rPr>
      </w:pPr>
      <w:r w:rsidRPr="00566AFC">
        <w:rPr>
          <w:i/>
          <w:sz w:val="52"/>
          <w:szCs w:val="52"/>
        </w:rPr>
        <w:t>Уголок сенсорного развития</w:t>
      </w:r>
    </w:p>
    <w:p w:rsidR="00A03F5B" w:rsidRDefault="00566AFC">
      <w:r w:rsidRPr="00566AFC">
        <w:rPr>
          <w:noProof/>
          <w:lang w:eastAsia="ru-RU"/>
        </w:rPr>
        <w:drawing>
          <wp:inline distT="0" distB="0" distL="0" distR="0">
            <wp:extent cx="5534025" cy="4229049"/>
            <wp:effectExtent l="0" t="0" r="0" b="635"/>
            <wp:docPr id="1" name="Рисунок 1" descr="C:\Users\Admin\Documents\DSCN3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DSCN34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229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3F5B" w:rsidSect="00B611D0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7E0115"/>
    <w:multiLevelType w:val="multilevel"/>
    <w:tmpl w:val="557E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D0"/>
    <w:rsid w:val="00566AFC"/>
    <w:rsid w:val="008A7421"/>
    <w:rsid w:val="00956E81"/>
    <w:rsid w:val="00A03F5B"/>
    <w:rsid w:val="00B611D0"/>
    <w:rsid w:val="00BD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93BBC-E852-46F3-A09C-5461767E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6227F-D116-492A-8987-4300FCAAB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2017-01-28T07:10:00Z</dcterms:created>
  <dcterms:modified xsi:type="dcterms:W3CDTF">2017-07-12T19:14:00Z</dcterms:modified>
</cp:coreProperties>
</file>